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ind w:left="4320" w:firstLine="720"/>
        <w:contextualSpacing w:val="0"/>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Agenda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0</wp:posOffset>
            </wp:positionV>
            <wp:extent cx="1001086" cy="852488"/>
            <wp:effectExtent b="0" l="0" r="0" t="0"/>
            <wp:wrapTopAndBottom distB="114300" distT="114300"/>
            <wp:docPr descr="Logo - No background.png" id="1" name="image2.png"/>
            <a:graphic>
              <a:graphicData uri="http://schemas.openxmlformats.org/drawingml/2006/picture">
                <pic:pic>
                  <pic:nvPicPr>
                    <pic:cNvPr descr="Logo - No background.png" id="0" name="image2.png"/>
                    <pic:cNvPicPr preferRelativeResize="0"/>
                  </pic:nvPicPr>
                  <pic:blipFill>
                    <a:blip r:embed="rId6"/>
                    <a:srcRect b="0" l="0" r="0" t="0"/>
                    <a:stretch>
                      <a:fillRect/>
                    </a:stretch>
                  </pic:blipFill>
                  <pic:spPr>
                    <a:xfrm>
                      <a:off x="0" y="0"/>
                      <a:ext cx="1001086" cy="852488"/>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College Hill Partnership</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Special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Thursday March 22, 2018</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3:00pm at CHP Office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rPr>
      </w:pPr>
      <w:r w:rsidDel="00000000" w:rsidR="00000000" w:rsidRPr="00000000">
        <w:rPr>
          <w:rFonts w:ascii="Tahoma" w:cs="Tahoma" w:eastAsia="Tahoma" w:hAnsi="Tahoma"/>
          <w:b w:val="1"/>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Call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sz w:val="20"/>
          <w:szCs w:val="20"/>
          <w:rtl w:val="0"/>
        </w:rPr>
        <w:t xml:space="preserve">Resolution to send letter to P &amp; Z about Mixed Use Project 22nd Street</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See Attached Document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on slate for 2018-2019 Board Elections</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Document will be sent on 19th up closure of submission period</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Resolution on budget request for College Hill Farmers Market</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$650 (Insurance)</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$800 (Financial Contribution)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Adjourn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4">
      <w:pPr>
        <w:spacing w:line="240" w:lineRule="auto"/>
        <w:contextualSpacing w:val="0"/>
        <w:jc w:val="center"/>
        <w:rPr>
          <w:sz w:val="20"/>
          <w:szCs w:val="20"/>
        </w:rPr>
      </w:pPr>
      <w:r w:rsidDel="00000000" w:rsidR="00000000" w:rsidRPr="00000000">
        <w:rPr>
          <w:rFonts w:ascii="Tahoma" w:cs="Tahoma" w:eastAsia="Tahoma" w:hAnsi="Tahoma"/>
          <w:sz w:val="20"/>
          <w:szCs w:val="20"/>
          <w:rtl w:val="0"/>
        </w:rPr>
        <w:t xml:space="preserve">Next meeting will be the Annual Meeting, Monday April 9th, time 6:00pm, at Octopus.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