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40" w:lineRule="auto"/>
        <w:ind w:left="4320" w:firstLine="720"/>
        <w:contextualSpacing w:val="0"/>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Agenda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-114299</wp:posOffset>
            </wp:positionH>
            <wp:positionV relativeFrom="paragraph">
              <wp:posOffset>0</wp:posOffset>
            </wp:positionV>
            <wp:extent cx="1001086" cy="852488"/>
            <wp:effectExtent b="0" l="0" r="0" t="0"/>
            <wp:wrapTopAndBottom distB="114300" distT="114300"/>
            <wp:docPr descr="Logo - No background.png" id="1" name="image2.png"/>
            <a:graphic>
              <a:graphicData uri="http://schemas.openxmlformats.org/drawingml/2006/picture">
                <pic:pic>
                  <pic:nvPicPr>
                    <pic:cNvPr descr="Logo - No background.png" id="0" name="image2.png"/>
                    <pic:cNvPicPr preferRelativeResize="0"/>
                  </pic:nvPicPr>
                  <pic:blipFill>
                    <a:blip r:embed="rId6"/>
                    <a:srcRect b="0" l="0" r="0" t="0"/>
                    <a:stretch>
                      <a:fillRect/>
                    </a:stretch>
                  </pic:blipFill>
                  <pic:spPr>
                    <a:xfrm>
                      <a:off x="0" y="0"/>
                      <a:ext cx="1001086" cy="852488"/>
                    </a:xfrm>
                    <a:prstGeom prst="rect"/>
                    <a:ln/>
                  </pic:spPr>
                </pic:pic>
              </a:graphicData>
            </a:graphic>
          </wp:anchor>
        </w:drawing>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The College Hill Partnership</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Monday January 8, 2018</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sz w:val="20"/>
          <w:szCs w:val="20"/>
        </w:rPr>
      </w:pPr>
      <w:r w:rsidDel="00000000" w:rsidR="00000000" w:rsidRPr="00000000">
        <w:rPr>
          <w:rFonts w:ascii="Tahoma" w:cs="Tahoma" w:eastAsia="Tahoma" w:hAnsi="Tahoma"/>
          <w:sz w:val="20"/>
          <w:szCs w:val="20"/>
          <w:rtl w:val="0"/>
        </w:rPr>
        <w:t xml:space="preserve">2:30pm at CHP Office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imes New Roman" w:cs="Times New Roman" w:eastAsia="Times New Roman" w:hAnsi="Times New Roman"/>
        </w:rPr>
      </w:pPr>
      <w:r w:rsidDel="00000000" w:rsidR="00000000" w:rsidRPr="00000000">
        <w:rPr>
          <w:rFonts w:ascii="Tahoma" w:cs="Tahoma" w:eastAsia="Tahoma" w:hAnsi="Tahoma"/>
          <w:b w:val="1"/>
          <w:u w:val="single"/>
          <w:rtl w:val="0"/>
        </w:rPr>
        <w:t xml:space="preserve">College Hill Partnership Mission Statement</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1440" w:firstLine="0"/>
        <w:contextualSpacing w:val="0"/>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144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Call to order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Approval of minutes - December 2017</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New Business including:</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22nd &amp; College Street Mixed-use Project</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Design Committee Review/Recommendation Letter to City Submission:</w:t>
      </w:r>
    </w:p>
    <w:p w:rsidR="00000000" w:rsidDel="00000000" w:rsidP="00000000" w:rsidRDefault="00000000" w:rsidRPr="00000000" w14:paraId="0000000E">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2128 College Street Site Plan (Bani’s drive through) </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Executive Committee Recommendations:</w:t>
      </w:r>
    </w:p>
    <w:p w:rsidR="00000000" w:rsidDel="00000000" w:rsidP="00000000" w:rsidRDefault="00000000" w:rsidRPr="00000000" w14:paraId="00000010">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Membership: Friends of Hill</w:t>
      </w:r>
    </w:p>
    <w:p w:rsidR="00000000" w:rsidDel="00000000" w:rsidP="00000000" w:rsidRDefault="00000000" w:rsidRPr="00000000" w14:paraId="00000011">
      <w:pPr>
        <w:numPr>
          <w:ilvl w:val="3"/>
          <w:numId w:val="1"/>
        </w:numPr>
        <w:pBdr>
          <w:top w:space="0" w:sz="0" w:val="nil"/>
          <w:left w:space="0" w:sz="0" w:val="nil"/>
          <w:bottom w:space="0" w:sz="0" w:val="nil"/>
          <w:right w:space="0" w:sz="0" w:val="nil"/>
          <w:between w:space="0" w:sz="0" w:val="nil"/>
        </w:pBdr>
        <w:shd w:fill="auto" w:val="clear"/>
        <w:spacing w:line="240" w:lineRule="auto"/>
        <w:ind w:left="360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Businesses Obligation</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Board Elections/ Applications/ Nominations</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Development of Board Member Duties, Responsibilities, and Commitment documents </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Change duration of board members terms</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Facade Grant Monies: Opportunity to continue offering through Economic Development Monies/Grant  </w:t>
      </w:r>
    </w:p>
    <w:p w:rsidR="00000000" w:rsidDel="00000000" w:rsidP="00000000" w:rsidRDefault="00000000" w:rsidRPr="00000000" w14:paraId="00000016">
      <w:pPr>
        <w:spacing w:line="240" w:lineRule="auto"/>
        <w:ind w:left="144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Updated Business including:</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Street Banners:  New Design</w:t>
      </w:r>
    </w:p>
    <w:p w:rsidR="00000000" w:rsidDel="00000000" w:rsidP="00000000" w:rsidRDefault="00000000" w:rsidRPr="00000000" w14:paraId="00000019">
      <w:pPr>
        <w:spacing w:line="240" w:lineRule="auto"/>
        <w:ind w:left="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Reports of the Executive Officers</w:t>
      </w:r>
    </w:p>
    <w:p w:rsidR="00000000" w:rsidDel="00000000" w:rsidP="00000000" w:rsidRDefault="00000000" w:rsidRPr="00000000" w14:paraId="0000001B">
      <w:pPr>
        <w:numPr>
          <w:ilvl w:val="1"/>
          <w:numId w:val="1"/>
        </w:numPr>
        <w:spacing w:line="240" w:lineRule="auto"/>
        <w:ind w:left="2160" w:hanging="360"/>
        <w:contextualSpacing w:val="1"/>
        <w:rPr>
          <w:rFonts w:ascii="Tahoma" w:cs="Tahoma" w:eastAsia="Tahoma" w:hAnsi="Tahoma"/>
          <w:sz w:val="20"/>
          <w:szCs w:val="20"/>
        </w:rPr>
      </w:pPr>
      <w:bookmarkStart w:colFirst="0" w:colLast="0" w:name="_6dz60k1y7pa0" w:id="0"/>
      <w:bookmarkEnd w:id="0"/>
      <w:r w:rsidDel="00000000" w:rsidR="00000000" w:rsidRPr="00000000">
        <w:rPr>
          <w:rFonts w:ascii="Tahoma" w:cs="Tahoma" w:eastAsia="Tahoma" w:hAnsi="Tahoma"/>
          <w:sz w:val="20"/>
          <w:szCs w:val="20"/>
          <w:rtl w:val="0"/>
        </w:rPr>
        <w:t xml:space="preserve">President - Andy Fuchtman</w:t>
      </w:r>
    </w:p>
    <w:p w:rsidR="00000000" w:rsidDel="00000000" w:rsidP="00000000" w:rsidRDefault="00000000" w:rsidRPr="00000000" w14:paraId="0000001C">
      <w:pPr>
        <w:numPr>
          <w:ilvl w:val="1"/>
          <w:numId w:val="1"/>
        </w:numPr>
        <w:spacing w:line="240" w:lineRule="auto"/>
        <w:ind w:left="2160" w:hanging="360"/>
        <w:contextualSpacing w:val="1"/>
        <w:rPr>
          <w:rFonts w:ascii="Tahoma" w:cs="Tahoma" w:eastAsia="Tahoma" w:hAnsi="Tahoma"/>
          <w:sz w:val="20"/>
          <w:szCs w:val="20"/>
        </w:rPr>
      </w:pPr>
      <w:bookmarkStart w:colFirst="0" w:colLast="0" w:name="_t96f225ngdro" w:id="1"/>
      <w:bookmarkEnd w:id="1"/>
      <w:r w:rsidDel="00000000" w:rsidR="00000000" w:rsidRPr="00000000">
        <w:rPr>
          <w:rFonts w:ascii="Tahoma" w:cs="Tahoma" w:eastAsia="Tahoma" w:hAnsi="Tahoma"/>
          <w:sz w:val="20"/>
          <w:szCs w:val="20"/>
          <w:rtl w:val="0"/>
        </w:rPr>
        <w:t xml:space="preserve">Financial Officer - Doug Johnson </w:t>
      </w:r>
    </w:p>
    <w:p w:rsidR="00000000" w:rsidDel="00000000" w:rsidP="00000000" w:rsidRDefault="00000000" w:rsidRPr="00000000" w14:paraId="0000001D">
      <w:pPr>
        <w:spacing w:line="240" w:lineRule="auto"/>
        <w:ind w:left="720" w:firstLine="0"/>
        <w:contextualSpacing w:val="0"/>
        <w:rPr>
          <w:rFonts w:ascii="Tahoma" w:cs="Tahoma" w:eastAsia="Tahoma" w:hAnsi="Tahoma"/>
          <w:sz w:val="20"/>
          <w:szCs w:val="20"/>
        </w:rPr>
      </w:pPr>
      <w:bookmarkStart w:colFirst="0" w:colLast="0" w:name="_gaghr85nw8ao" w:id="2"/>
      <w:bookmarkEnd w:id="2"/>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Reports of Executive Director </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Kathryn Sogard (Written and attached)</w:t>
        <w:tab/>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Beautification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Committee Progress</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contextualSpacing w:val="1"/>
        <w:rPr>
          <w:rFonts w:ascii="Tahoma" w:cs="Tahoma" w:eastAsia="Tahoma" w:hAnsi="Tahoma"/>
          <w:sz w:val="20"/>
          <w:szCs w:val="20"/>
          <w:u w:val="none"/>
        </w:rPr>
      </w:pPr>
      <w:r w:rsidDel="00000000" w:rsidR="00000000" w:rsidRPr="00000000">
        <w:rPr>
          <w:rFonts w:ascii="Tahoma" w:cs="Tahoma" w:eastAsia="Tahoma" w:hAnsi="Tahoma"/>
          <w:sz w:val="20"/>
          <w:szCs w:val="20"/>
          <w:rtl w:val="0"/>
        </w:rPr>
        <w:t xml:space="preserve">See Coordinator's Notes (for additional updates contact Kathryn)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contextualSpacing w:val="1"/>
        <w:rPr>
          <w:rFonts w:ascii="Tahoma" w:cs="Tahoma" w:eastAsia="Tahoma" w:hAnsi="Tahoma"/>
          <w:sz w:val="20"/>
          <w:szCs w:val="20"/>
        </w:rPr>
      </w:pPr>
      <w:r w:rsidDel="00000000" w:rsidR="00000000" w:rsidRPr="00000000">
        <w:rPr>
          <w:rFonts w:ascii="Tahoma" w:cs="Tahoma" w:eastAsia="Tahoma" w:hAnsi="Tahoma"/>
          <w:sz w:val="20"/>
          <w:szCs w:val="20"/>
          <w:rtl w:val="0"/>
        </w:rPr>
        <w:t xml:space="preserve">Adjourn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ind w:left="0" w:firstLine="0"/>
        <w:contextualSpacing w:val="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27">
      <w:pPr>
        <w:spacing w:line="240" w:lineRule="auto"/>
        <w:contextualSpacing w:val="0"/>
        <w:jc w:val="center"/>
        <w:rPr>
          <w:sz w:val="20"/>
          <w:szCs w:val="20"/>
        </w:rPr>
      </w:pPr>
      <w:r w:rsidDel="00000000" w:rsidR="00000000" w:rsidRPr="00000000">
        <w:rPr>
          <w:rFonts w:ascii="Tahoma" w:cs="Tahoma" w:eastAsia="Tahoma" w:hAnsi="Tahoma"/>
          <w:sz w:val="20"/>
          <w:szCs w:val="20"/>
          <w:rtl w:val="0"/>
        </w:rPr>
        <w:t xml:space="preserve">Next meeting will be Monday, February 12th  at 2:30pm at TBD.</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